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6D84" w14:textId="21BCF7B8" w:rsidR="00DC0C99" w:rsidRPr="008E2681" w:rsidRDefault="00DC0C99" w:rsidP="00DC0C9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268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План заходів, спрямованих на запобігання та протидію </w:t>
      </w:r>
      <w:proofErr w:type="spellStart"/>
      <w:r w:rsidRPr="008E268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булінгу</w:t>
      </w:r>
      <w:proofErr w:type="spellEnd"/>
      <w:r w:rsidRPr="008E268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(цькуванню) на </w:t>
      </w:r>
      <w:r w:rsidRPr="008E2681">
        <w:rPr>
          <w:rFonts w:ascii="Times New Roman" w:hAnsi="Times New Roman" w:cs="Times New Roman"/>
          <w:b/>
          <w:i/>
          <w:iCs/>
          <w:sz w:val="28"/>
          <w:szCs w:val="28"/>
        </w:rPr>
        <w:t>202</w:t>
      </w:r>
      <w:r w:rsidR="00A8152E" w:rsidRPr="00A8152E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  <w:r w:rsidRPr="008E268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/</w:t>
      </w:r>
      <w:r w:rsidRPr="008E2681">
        <w:rPr>
          <w:rFonts w:ascii="Times New Roman" w:hAnsi="Times New Roman" w:cs="Times New Roman"/>
          <w:b/>
          <w:i/>
          <w:iCs/>
          <w:sz w:val="28"/>
          <w:szCs w:val="28"/>
        </w:rPr>
        <w:t>202</w:t>
      </w:r>
      <w:r w:rsidR="00A8152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5</w:t>
      </w:r>
      <w:bookmarkStart w:id="0" w:name="_GoBack"/>
      <w:bookmarkEnd w:id="0"/>
      <w:r w:rsidRPr="008E26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E2681">
        <w:rPr>
          <w:rFonts w:ascii="Times New Roman" w:hAnsi="Times New Roman" w:cs="Times New Roman"/>
          <w:b/>
          <w:i/>
          <w:iCs/>
          <w:sz w:val="28"/>
          <w:szCs w:val="28"/>
        </w:rPr>
        <w:t>н.р</w:t>
      </w:r>
      <w:proofErr w:type="spellEnd"/>
      <w:r w:rsidRPr="008E2681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283E3132" w14:textId="000093F9" w:rsidR="00D839A0" w:rsidRPr="008E2681" w:rsidRDefault="0011294D" w:rsidP="00D839A0">
      <w:pPr>
        <w:tabs>
          <w:tab w:val="left" w:pos="1732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E2681">
        <w:rPr>
          <w:rFonts w:ascii="Times New Roman" w:eastAsia="Arial" w:hAnsi="Times New Roman" w:cs="Times New Roman"/>
          <w:sz w:val="28"/>
          <w:szCs w:val="28"/>
        </w:rPr>
        <w:tab/>
      </w:r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Комплекс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заходів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із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запобігання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профілактики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та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попередження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булінгу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складає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b/>
          <w:i/>
          <w:sz w:val="28"/>
          <w:szCs w:val="28"/>
        </w:rPr>
        <w:t>антибулінгову</w:t>
      </w:r>
      <w:proofErr w:type="spellEnd"/>
      <w:r w:rsidR="00D839A0" w:rsidRPr="008E268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b/>
          <w:i/>
          <w:sz w:val="28"/>
          <w:szCs w:val="28"/>
        </w:rPr>
        <w:t>політику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закладу.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Політика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запобігання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булінгу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839A0"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в </w:t>
      </w:r>
      <w:r w:rsidR="00405DBF" w:rsidRPr="008E2681">
        <w:rPr>
          <w:rFonts w:ascii="Times New Roman" w:eastAsia="Arial" w:hAnsi="Times New Roman" w:cs="Times New Roman"/>
          <w:sz w:val="28"/>
          <w:szCs w:val="28"/>
          <w:lang w:val="uk-UA"/>
        </w:rPr>
        <w:t>закладі освіти</w:t>
      </w:r>
      <w:r w:rsidR="00D839A0"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є</w:t>
      </w:r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комплексною і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охоплює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всіх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учасників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освітнього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процесу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Кожен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працівник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закладу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має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знати про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антибулінгову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політику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та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неухильно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дотримуватись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 xml:space="preserve"> правил та процедур нею </w:t>
      </w:r>
      <w:proofErr w:type="spellStart"/>
      <w:r w:rsidR="00D839A0" w:rsidRPr="008E2681">
        <w:rPr>
          <w:rFonts w:ascii="Times New Roman" w:eastAsia="Arial" w:hAnsi="Times New Roman" w:cs="Times New Roman"/>
          <w:sz w:val="28"/>
          <w:szCs w:val="28"/>
        </w:rPr>
        <w:t>встановлених</w:t>
      </w:r>
      <w:proofErr w:type="spellEnd"/>
      <w:r w:rsidR="00D839A0" w:rsidRPr="008E2681">
        <w:rPr>
          <w:rFonts w:ascii="Times New Roman" w:eastAsia="Arial" w:hAnsi="Times New Roman" w:cs="Times New Roman"/>
          <w:sz w:val="28"/>
          <w:szCs w:val="28"/>
        </w:rPr>
        <w:t>.</w:t>
      </w:r>
    </w:p>
    <w:p w14:paraId="74F21E8E" w14:textId="1EB34B12" w:rsidR="00D839A0" w:rsidRPr="008E2681" w:rsidRDefault="00D839A0" w:rsidP="00D839A0">
      <w:pPr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     </w:t>
      </w:r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ab/>
      </w:r>
      <w:r w:rsidR="0011294D" w:rsidRPr="008E2681">
        <w:rPr>
          <w:rFonts w:ascii="Times New Roman" w:eastAsia="Arial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>Антибулінгова</w:t>
      </w:r>
      <w:proofErr w:type="spellEnd"/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політика </w:t>
      </w:r>
      <w:proofErr w:type="spellStart"/>
      <w:r w:rsidR="00405DBF" w:rsidRPr="008E2681">
        <w:rPr>
          <w:rFonts w:ascii="Times New Roman" w:eastAsia="Arial" w:hAnsi="Times New Roman" w:cs="Times New Roman"/>
          <w:sz w:val="28"/>
          <w:szCs w:val="28"/>
          <w:lang w:val="uk-UA"/>
        </w:rPr>
        <w:t>Великобичківського</w:t>
      </w:r>
      <w:proofErr w:type="spellEnd"/>
      <w:r w:rsidR="00405DBF"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ЗЗСО І-ІІІ ст.№2</w:t>
      </w:r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складається з планування заходів щодо </w:t>
      </w: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захисту учнів та  виконання Закону України «Про охорону дитинства»</w:t>
      </w:r>
      <w:r w:rsidRPr="008E26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профілактики правопорушень здобувачів освіти і, власне,  Плану заходів, спрямованих на запобігання та протидію </w:t>
      </w:r>
      <w:proofErr w:type="spellStart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(цькуванню). </w:t>
      </w:r>
    </w:p>
    <w:p w14:paraId="078B3429" w14:textId="2C2AB830" w:rsidR="00D839A0" w:rsidRPr="008E2681" w:rsidRDefault="00D839A0" w:rsidP="00D83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11294D"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1294D"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Розроблені алгоритм, порядок подання та розгляду (з дотриманням конфіденційності) заяв про випадки </w:t>
      </w:r>
      <w:proofErr w:type="spellStart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Положення про роботу Комісії </w:t>
      </w:r>
      <w:r w:rsidR="00405DBF"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405DBF" w:rsidRPr="008E2681">
        <w:rPr>
          <w:rFonts w:ascii="Times New Roman" w:eastAsia="Arial" w:hAnsi="Times New Roman" w:cs="Times New Roman"/>
          <w:sz w:val="28"/>
          <w:szCs w:val="28"/>
          <w:lang w:val="uk-UA"/>
        </w:rPr>
        <w:t>Великобичківськму</w:t>
      </w:r>
      <w:proofErr w:type="spellEnd"/>
      <w:r w:rsidR="00405DBF"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ЗЗСО І-ІІІ ст.№2 </w:t>
      </w: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розгляду  випадків </w:t>
      </w:r>
      <w:proofErr w:type="spellStart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</w:t>
      </w:r>
      <w:r w:rsidRPr="008E2681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Pr="008E2681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застосування заходів виховного впливу в закладі освіти.</w:t>
      </w:r>
    </w:p>
    <w:p w14:paraId="025CC511" w14:textId="77777777" w:rsidR="00D839A0" w:rsidRPr="008E2681" w:rsidRDefault="00D839A0" w:rsidP="00D83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268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</w:p>
    <w:p w14:paraId="3C00CB2F" w14:textId="77777777" w:rsidR="00D839A0" w:rsidRPr="008E2681" w:rsidRDefault="00D839A0" w:rsidP="00D83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Створення дружнього для дітей освітнього середовища відповідно до міжнародних стандартів та </w:t>
      </w:r>
      <w:proofErr w:type="spellStart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приоритетів</w:t>
      </w:r>
      <w:proofErr w:type="spellEnd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Стратегії Ради Європи з прав дитини; вироблення </w:t>
      </w:r>
      <w:proofErr w:type="spellStart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антибулінгової</w:t>
      </w:r>
      <w:proofErr w:type="spellEnd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політики в гімназії</w:t>
      </w:r>
      <w:r w:rsidRPr="008E2681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. </w:t>
      </w:r>
    </w:p>
    <w:p w14:paraId="057F91C9" w14:textId="77777777" w:rsidR="00D839A0" w:rsidRPr="008E2681" w:rsidRDefault="00D839A0" w:rsidP="00D83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14:paraId="0A088FFC" w14:textId="77777777" w:rsidR="00D839A0" w:rsidRPr="008E2681" w:rsidRDefault="00D839A0" w:rsidP="00D839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Початкова школа</w:t>
      </w:r>
    </w:p>
    <w:p w14:paraId="0588605C" w14:textId="77777777" w:rsidR="00D839A0" w:rsidRPr="008E2681" w:rsidRDefault="00D839A0" w:rsidP="00D83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Усвідомлення цінності людського життя, виховання поваги до кожної людської особистості, попередження цькуванню та фізичного насилля, дотримання правил здорового способу життя; здійснення самоконтролю, </w:t>
      </w:r>
      <w:proofErr w:type="spellStart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самооцінювання</w:t>
      </w:r>
      <w:proofErr w:type="spellEnd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виявлення вольових рис особистості. Формування вміння вибудовувати доброзичливі й толерантні стосунки з усіма учасниками освітнього процесу.</w:t>
      </w:r>
    </w:p>
    <w:p w14:paraId="5BE56A88" w14:textId="77777777" w:rsidR="00D839A0" w:rsidRPr="008E2681" w:rsidRDefault="00D839A0" w:rsidP="00D839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34DDB1" w14:textId="77777777" w:rsidR="00D839A0" w:rsidRPr="008E2681" w:rsidRDefault="00D839A0" w:rsidP="00D839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Основна школа</w:t>
      </w:r>
    </w:p>
    <w:p w14:paraId="06299390" w14:textId="77777777" w:rsidR="00D839A0" w:rsidRPr="008E2681" w:rsidRDefault="00D839A0" w:rsidP="00D83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Уміння цінувати себе та інших як унікальну і неповторну особистість, усвідомлювати право кожної людини на захист від приниження честі і гідності. Прагнення бути фізично здоровою людиною. Уміння визначати свій соціальний статус у групі оточуючих, уміти коректувати та регулювати власну поведінку, попереджувати прояви як фізичної, так і вербальної агресії.</w:t>
      </w:r>
      <w:r w:rsidRPr="008E2681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</w:p>
    <w:p w14:paraId="040EC100" w14:textId="77777777" w:rsidR="00D839A0" w:rsidRPr="008E2681" w:rsidRDefault="00D839A0" w:rsidP="00D83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50ECDA1" w14:textId="77777777" w:rsidR="00D839A0" w:rsidRPr="008E2681" w:rsidRDefault="00D839A0" w:rsidP="00D839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Старша школа</w:t>
      </w:r>
    </w:p>
    <w:p w14:paraId="63F36EE8" w14:textId="77777777" w:rsidR="00D839A0" w:rsidRPr="008E2681" w:rsidRDefault="00D839A0" w:rsidP="00D83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Вміння адекватно протидіяти </w:t>
      </w:r>
      <w:proofErr w:type="spellStart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булінгу</w:t>
      </w:r>
      <w:proofErr w:type="spellEnd"/>
      <w:r w:rsidRPr="008E2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насиллю та жорстокому поводженню, вміння створювати атмосферу спільної поваги та відповідального ставлення один до одного під час міжособистісної взаємодії.  Розуміння та аналіз концепції здоров’язберігаючих навичок, уміння орієнтуватися та адаптуватися в життєвих ситуаціях; визначення життєвих пріоритетів, цілей та ідеалів.</w:t>
      </w:r>
      <w:r w:rsidRPr="008E2681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 xml:space="preserve"> </w:t>
      </w:r>
    </w:p>
    <w:p w14:paraId="0CF296D2" w14:textId="77777777" w:rsidR="00D839A0" w:rsidRPr="008E2681" w:rsidRDefault="00D839A0" w:rsidP="00D83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</w:p>
    <w:p w14:paraId="39598ABA" w14:textId="60757258" w:rsidR="00D839A0" w:rsidRPr="00D839A0" w:rsidRDefault="00D839A0" w:rsidP="008E2681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W w:w="147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253"/>
        <w:gridCol w:w="2410"/>
        <w:gridCol w:w="1560"/>
        <w:gridCol w:w="1842"/>
      </w:tblGrid>
      <w:tr w:rsidR="00DC0C99" w14:paraId="5051243C" w14:textId="77777777" w:rsidTr="00DC0C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60EF" w14:textId="77777777" w:rsidR="00DC0C99" w:rsidRDefault="00DC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№ </w:t>
            </w:r>
          </w:p>
          <w:p w14:paraId="7C837BF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з/п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806C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Зміст роботи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8DBEF" w14:textId="77777777" w:rsidR="00DC0C99" w:rsidRDefault="00DC0C99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Відповідальні</w:t>
            </w:r>
          </w:p>
          <w:p w14:paraId="44CA18EB" w14:textId="77777777" w:rsidR="00DC0C99" w:rsidRDefault="00DC0C9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за виконання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AD8F3" w14:textId="77777777" w:rsidR="00DC0C99" w:rsidRDefault="00DC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Дата</w:t>
            </w:r>
          </w:p>
          <w:p w14:paraId="3ED1932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виконання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06435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Форми           узагальнення</w:t>
            </w:r>
          </w:p>
        </w:tc>
      </w:tr>
      <w:tr w:rsidR="00DC0C99" w14:paraId="0552C65A" w14:textId="77777777" w:rsidTr="00DC0C99"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946" w14:textId="5CE24482" w:rsidR="00DC0C99" w:rsidRDefault="00DC0C99" w:rsidP="008D1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 xml:space="preserve">Вироблення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антибулінгової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 xml:space="preserve"> політики в </w:t>
            </w:r>
            <w:r w:rsidR="008D1DD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закладі освіти</w:t>
            </w:r>
          </w:p>
        </w:tc>
      </w:tr>
      <w:tr w:rsidR="00DC0C99" w14:paraId="60B62E94" w14:textId="77777777" w:rsidTr="00DC0C9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2EF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1. </w:t>
            </w:r>
          </w:p>
          <w:p w14:paraId="5D6632B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4B360EE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09A5FE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D5D174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752BEC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C6DDD2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DC989C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7B7F0D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69E1AB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A74302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66744A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2C2366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FAED96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1D7FEB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654983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65F492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85026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Організаційна діяльність</w:t>
            </w:r>
          </w:p>
          <w:p w14:paraId="654DC70C" w14:textId="77777777" w:rsidR="00405DBF" w:rsidRDefault="00DC0C99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1.1.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Розроблення плану заходів, спрямованих на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.                                                                                                          </w:t>
            </w:r>
          </w:p>
          <w:p w14:paraId="69B90E17" w14:textId="06F0BC67" w:rsidR="00DC0C99" w:rsidRDefault="00DC0C99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1.2. С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творення робочої групи для формування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антибулінгової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політики.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                                                                                                                                1.3. 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Контроль безпеки фізичного простору</w:t>
            </w:r>
            <w:r>
              <w:rPr>
                <w:rFonts w:ascii="Times New Roman" w:eastAsia="Arial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: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                                                   </w:t>
            </w:r>
          </w:p>
          <w:p w14:paraId="7B5E73CD" w14:textId="77777777" w:rsidR="00DC0C99" w:rsidRDefault="00DC0C99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- заходи з адаптації будівлі та приміщень для забезпечення можливості ними користуватись усім учасникам освітнього процесу без дискримінації через фізичні можливості;                                                          </w:t>
            </w:r>
          </w:p>
          <w:p w14:paraId="718D6B71" w14:textId="5F3DB82E" w:rsidR="00DC0C99" w:rsidRDefault="00DC0C99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 чергування та постійне спостереження за поведінко</w:t>
            </w:r>
            <w:r w:rsidR="00405DB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ю учнів під час перерв, у дворі закладу освіти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;                                                                                                                       </w:t>
            </w:r>
          </w:p>
          <w:p w14:paraId="3F86A05D" w14:textId="77777777" w:rsidR="00405DBF" w:rsidRDefault="00DC0C99">
            <w:pPr>
              <w:tabs>
                <w:tab w:val="left" w:pos="1129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- безпечний доступ до мережі Інтернет.                                                                                                               1.4. Актуалізація порядку звернення щодо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чи інших видів насильства</w:t>
            </w:r>
            <w:r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та алгоритму дій для працівників закладу у випадку виявлення фактів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.                                                                                           </w:t>
            </w:r>
          </w:p>
          <w:p w14:paraId="595FC483" w14:textId="5B587E6B" w:rsidR="00DC0C99" w:rsidRDefault="00DC0C99">
            <w:pPr>
              <w:tabs>
                <w:tab w:val="left" w:pos="1129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Забезпечення неухильного виконання педагогічними працівниками гімназії Конвенції ООН «Про права дитини», Закону України «Про охорону дитинства», законодавств України в галузі освіти в частині збереження фізичного, духовного, психічного здоров’я та поваги до людської гідності дитини.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02B62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Адміністрація </w:t>
            </w:r>
          </w:p>
          <w:p w14:paraId="49C6CAFF" w14:textId="79475904" w:rsidR="00DC0C99" w:rsidRDefault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закладу освіти</w:t>
            </w:r>
          </w:p>
          <w:p w14:paraId="6A6680B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964AB6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61117E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E4E9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DA9924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Вересень</w:t>
            </w:r>
          </w:p>
          <w:p w14:paraId="0D5D9A3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Вересень</w:t>
            </w:r>
          </w:p>
          <w:p w14:paraId="5AF2037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Постійно</w:t>
            </w:r>
          </w:p>
          <w:p w14:paraId="117B39F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F6B240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C52DB7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1BA4EC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36D0D5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9A6D0A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F9E5F2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Вересень</w:t>
            </w:r>
          </w:p>
          <w:p w14:paraId="19B5D4A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FACEBC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Постійно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F1A7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50674B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План</w:t>
            </w:r>
          </w:p>
          <w:p w14:paraId="03B92AA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1A6717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95C5E9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7A597B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6B9ADD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C4F7FC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                                                                     </w:t>
            </w:r>
          </w:p>
          <w:p w14:paraId="20E4D6D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612099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D077EE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39C974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96512C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Алгоритм</w:t>
            </w:r>
          </w:p>
          <w:p w14:paraId="458D4F4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927367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061BE6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0D3998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DC0C99" w14:paraId="4861812D" w14:textId="77777777" w:rsidTr="00DC0C99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CFB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9F55AE" w14:textId="77777777" w:rsidR="00DC0C99" w:rsidRDefault="00DC0C99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Діагностична діяльність.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Вивчення ситуації</w:t>
            </w:r>
          </w:p>
          <w:p w14:paraId="14A6F41E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2.1. Виявлення дітей, які потребують додаткової психолого-педагогічної уваги: </w:t>
            </w:r>
          </w:p>
          <w:p w14:paraId="63EFD8C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- зазначити кількість учнів, які стоять на внутрішньо шкільному обліку (з вказанням причин). </w:t>
            </w:r>
          </w:p>
          <w:p w14:paraId="035BEE6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2.2. Під час проведення рейду «Урок» з’ясувати умови проживання та виховання (категорійних) дітей в родинах з метою 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аналізу чинників, які найчастіше провокують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та недопущення насильства над дітьми.</w:t>
            </w:r>
          </w:p>
          <w:p w14:paraId="78D5FAB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2.3. Дослідження дитячих колективів (спостереження, соціометрія). </w:t>
            </w:r>
          </w:p>
          <w:p w14:paraId="440171F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2.4. Виявлення схильності до конфліктних  взаємовідносин та здатності розв’язувати конфлікти відповідно до демократичних принципів.</w:t>
            </w:r>
          </w:p>
          <w:p w14:paraId="067DDEE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2.5. Дослідження агресивності та ворожості.</w:t>
            </w:r>
          </w:p>
          <w:p w14:paraId="25DC48E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2.6. Діагностика (індивідуальна) підлітків з емоційними розладами з приводу своєї зовнішності та з порушеннями харчової поведінки (можливих жертв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).</w:t>
            </w:r>
          </w:p>
          <w:p w14:paraId="0EE4FC91" w14:textId="77777777" w:rsidR="00DC0C99" w:rsidRDefault="00DC0C99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2.7.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Анкетування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(опитування)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учнів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батьків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вчителів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з метою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виявлення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основних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чинників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що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негативно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впливають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психологічний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комфорт та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безпеку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у </w:t>
            </w:r>
            <w:proofErr w:type="spell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закладі</w:t>
            </w:r>
            <w:proofErr w:type="spellEnd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88033" w14:textId="77777777" w:rsidR="00405DBF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ЗДВР</w:t>
            </w:r>
            <w:r w:rsidR="004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</w:p>
          <w:p w14:paraId="01BA00D3" w14:textId="4CEF2522" w:rsidR="00DC0C99" w:rsidRDefault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психолог,</w:t>
            </w:r>
          </w:p>
          <w:p w14:paraId="39E1D3B2" w14:textId="03A91CD5" w:rsidR="00405DBF" w:rsidRDefault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соціальний педагог</w:t>
            </w:r>
          </w:p>
          <w:p w14:paraId="51EA8F6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E8C91A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D6E3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B3A220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Вересень</w:t>
            </w:r>
          </w:p>
          <w:p w14:paraId="4039200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A8F1F3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FAE277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Вересень</w:t>
            </w:r>
          </w:p>
          <w:p w14:paraId="272C3AC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6D7892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5B5AB7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Жовтень-листопад</w:t>
            </w:r>
          </w:p>
          <w:p w14:paraId="557F7ED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Лютий-березень</w:t>
            </w:r>
          </w:p>
          <w:p w14:paraId="1733031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На запит</w:t>
            </w:r>
          </w:p>
          <w:p w14:paraId="1B092C5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9F5FF6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ІІ семестр</w:t>
            </w:r>
          </w:p>
          <w:p w14:paraId="7D542CC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6624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Результати діагностики.</w:t>
            </w:r>
          </w:p>
          <w:p w14:paraId="2435EAA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Довідка.</w:t>
            </w:r>
          </w:p>
          <w:p w14:paraId="4377075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Рекомендації.</w:t>
            </w:r>
          </w:p>
        </w:tc>
      </w:tr>
      <w:tr w:rsidR="00DC0C99" w14:paraId="63357353" w14:textId="77777777" w:rsidTr="00DC0C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57CC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3.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FD70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Інформаційно-просвітницька діяльність серед учасників освітнього процесу щодо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(цькування) та нетерпимого ставлення до насильницької моделі поведінки у міжособистісних стосунках</w:t>
            </w:r>
          </w:p>
          <w:p w14:paraId="76D9C684" w14:textId="0C6DF946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3.1. Оформлення «куточків допомоги» на стендах, на шкільному сайті з інформацією про контакти місць надання ефективної допомоги.</w:t>
            </w:r>
          </w:p>
          <w:p w14:paraId="1BA1AA0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 2. Розміщення інформації про існуючі сайти та телефонні номери установ та організацій з правової, медичної та соціально-психологічної підтримки.</w:t>
            </w:r>
          </w:p>
          <w:p w14:paraId="2404433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3.3. ПП практикум для класних керівників «Розробка стратегії супроводу дітей, що потребують посиленої уваги».</w:t>
            </w:r>
          </w:p>
          <w:p w14:paraId="5293F7D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3.4. Розробка пам’яток «Спілкування 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дитиною жертвою або агресором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булером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)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(для  батьків та педагогів).</w:t>
            </w:r>
          </w:p>
          <w:p w14:paraId="1198B36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3.5. ПП практикум для класних керівників по дослідженню і характеристиці мікроклімату в шкільних колективах (в індивідуальній формі).</w:t>
            </w:r>
          </w:p>
          <w:p w14:paraId="2A2823C8" w14:textId="7200A394" w:rsidR="00DC0C99" w:rsidRDefault="00DC0C99" w:rsidP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3.6. ПП семінар для педагогів «10 кроків до створення безпечної та дружньої до дитини школи».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25179" w14:textId="77777777" w:rsidR="00405DBF" w:rsidRDefault="00405DBF" w:rsidP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ЗДВР,</w:t>
            </w:r>
          </w:p>
          <w:p w14:paraId="006C5159" w14:textId="77777777" w:rsidR="00405DBF" w:rsidRDefault="00405DBF" w:rsidP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психолог,</w:t>
            </w:r>
          </w:p>
          <w:p w14:paraId="56797442" w14:textId="77777777" w:rsidR="00405DBF" w:rsidRDefault="00405DBF" w:rsidP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соціальний педагог</w:t>
            </w:r>
          </w:p>
          <w:p w14:paraId="4C9E554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139872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23277" w14:textId="7A5FEC0A" w:rsidR="00DC0C99" w:rsidRDefault="00DC0C99" w:rsidP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За планом роботи </w:t>
            </w:r>
            <w:r w:rsidR="004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закладу освіти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6D6A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0765D5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7E8098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BC1827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9B6D89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69FC5A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A6ED61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916EC5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F75BF3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DC0C99" w14:paraId="1282A2C5" w14:textId="77777777" w:rsidTr="00DC0C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28F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E888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Профілактична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спрямована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стосовно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булінгу</w:t>
            </w:r>
            <w:proofErr w:type="spellEnd"/>
          </w:p>
          <w:p w14:paraId="45B9C75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4.1. Профілактика комп’ютерного насильства та проявів агресії в кіберпросторі та соцмережах:</w:t>
            </w:r>
          </w:p>
          <w:p w14:paraId="0320417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 розробка пам’яток, демонстрація відеороликів;</w:t>
            </w:r>
          </w:p>
          <w:p w14:paraId="077B962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 тиждень безпечного Інтернету.</w:t>
            </w:r>
          </w:p>
          <w:p w14:paraId="2B3BDA3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4.2. Розвиток комунікативних навичок (із використанням модуля «Спілкуємося та діємо», залучення перерв, радіо).</w:t>
            </w:r>
          </w:p>
          <w:p w14:paraId="322F597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4.3. Участь в Міжнародній кампанії «16 днів без насильства» - акція «Стоп насильству!»: оформлення стенду, інтерактивна анкета, психологічна гра.</w:t>
            </w:r>
          </w:p>
          <w:p w14:paraId="5D8837F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4.4. Участь у Всеукраїнському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уроці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«Права людини» з нагоди проголошення Загальної Декларації прав людини («1 – 54» Гірлянда прав, опитувальник, інформація про Закон про відповідальність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).</w:t>
            </w:r>
          </w:p>
          <w:p w14:paraId="4DD78EA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4.5. Профілактика, конфліктності,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суїцидальних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настроїв серед дітей  – психологічна акція «Світ позитиву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».</w:t>
            </w:r>
          </w:p>
          <w:p w14:paraId="61887A5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4.6. Участь у Всеукраїнській акції «Чужого горя не буває» (перегляд, аналіз фільмів).</w:t>
            </w:r>
          </w:p>
          <w:p w14:paraId="4BC9C44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4.7. Психологічна акція «Мій затишний куточок (місце найбільшого комфорту)» - радіолекторій + арт-педагогіка.</w:t>
            </w:r>
          </w:p>
          <w:p w14:paraId="167CAB5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4.8.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старшокласників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участю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педагога на тему «Не допускай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насилля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над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ближнім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  <w:p w14:paraId="47C7167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4.9.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годин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бібліотечних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виставок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на тему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Моє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світле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майбутнє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Мистецтво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видатних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людей»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644A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ЗДВР</w:t>
            </w:r>
          </w:p>
          <w:p w14:paraId="5A747795" w14:textId="63002FD6" w:rsidR="00DC0C99" w:rsidRDefault="004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</w:t>
            </w:r>
          </w:p>
          <w:p w14:paraId="411C82D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Учителі інформатики</w:t>
            </w:r>
          </w:p>
          <w:p w14:paraId="7DD3772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48EC3D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3FD1E8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089C73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5579BE8" w14:textId="1A5D0F92" w:rsidR="00405DBF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С</w:t>
            </w:r>
            <w:r w:rsidR="004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оціальний педагог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  <w:p w14:paraId="2B4A5E29" w14:textId="46BFF091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Педагог-організатор</w:t>
            </w:r>
          </w:p>
          <w:p w14:paraId="0BB0DC46" w14:textId="77777777" w:rsidR="005C4598" w:rsidRDefault="005C4598" w:rsidP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</w:t>
            </w:r>
          </w:p>
          <w:p w14:paraId="47680AA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D6E2F5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71BFC8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Учитель мистецтва</w:t>
            </w:r>
          </w:p>
          <w:p w14:paraId="57B440C7" w14:textId="6B581E9F" w:rsidR="00DC0C99" w:rsidRDefault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Соціальний педагог</w:t>
            </w:r>
          </w:p>
          <w:p w14:paraId="3925FBCB" w14:textId="17A0C377" w:rsidR="00DC0C99" w:rsidRDefault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Бібліотекар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96B0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2CA80B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DB8E2A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Постійно</w:t>
            </w:r>
          </w:p>
          <w:p w14:paraId="38DBA41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D32641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13785F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Лютий</w:t>
            </w:r>
          </w:p>
          <w:p w14:paraId="7A1C833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2E1DCDF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DE32A69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20.11-08.12.23</w:t>
            </w:r>
          </w:p>
          <w:p w14:paraId="2EDEB7FE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08.12.24</w:t>
            </w:r>
          </w:p>
          <w:p w14:paraId="3145477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9D28E6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DAE8CF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Березень</w:t>
            </w:r>
          </w:p>
          <w:p w14:paraId="1C61CCE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EFD604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Квітень</w:t>
            </w:r>
          </w:p>
          <w:p w14:paraId="09625DE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DB93B1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BADF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EEE2F8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2A13FF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F204B0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4EB83B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A28EF74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План</w:t>
            </w:r>
          </w:p>
          <w:p w14:paraId="1F77052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40DF5C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69B6F4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План</w:t>
            </w:r>
          </w:p>
          <w:p w14:paraId="640893F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820514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Інформація</w:t>
            </w:r>
          </w:p>
          <w:p w14:paraId="4ADAEAA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B681A8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3CE601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F4860C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26B50AF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A7224FC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801921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F4D6AB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803044E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6C915C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B554D47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DC0C99" w14:paraId="62275619" w14:textId="77777777" w:rsidTr="00DC0C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0A5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5.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B8EDAC" w14:textId="35C301D5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Координація діяльності та взаємодії між </w:t>
            </w:r>
            <w:r w:rsidR="008D1DDD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школою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та іншими суб’єктами реагування на випадки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закладах освіти</w:t>
            </w:r>
          </w:p>
          <w:p w14:paraId="1582A43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5.1. Популяризація роботи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кіберполіції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  <w:p w14:paraId="4FE1DB4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5.2. Участь в програмі «Шкільні офіцери»:</w:t>
            </w:r>
          </w:p>
          <w:p w14:paraId="26A6B0E0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-зустріч з інспекторами патрульної служби на тему «СТОП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!»;</w:t>
            </w:r>
          </w:p>
          <w:p w14:paraId="63DC590A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-на тему «Відповідальність. Права. Обов’язки» та інші.</w:t>
            </w:r>
          </w:p>
          <w:p w14:paraId="1750C268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5.3. Зустріч учнів зі спеціалістами єврейського жіночого руху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Кешер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»  (До Міжнародного дня терпимості - поглиблення взаєморозуміння між культурами та народами).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EC73B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ЗДВР</w:t>
            </w:r>
          </w:p>
          <w:p w14:paraId="536DE5CB" w14:textId="27250F76" w:rsidR="00DC0C99" w:rsidRDefault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581E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Протягом навчального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536A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CADDC2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74E30B2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52F81E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A965CE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57693F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311704E2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B2314A3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6BDB9671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DC0C99" w14:paraId="77A0F9CE" w14:textId="77777777" w:rsidTr="00DC0C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F066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6.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94170" w14:textId="53231D3D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uk-UA"/>
                <w14:ligatures w14:val="standardContextual"/>
              </w:rPr>
              <w:t>Моніторинг ефективності виконання плану заходів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спрямованих на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 w:rsidR="008D1DDD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закладі освіти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виявлення проблем у сфері запобігання та протидії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(цькуванню), вжиття заходів для їх вирішення.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0E6C3" w14:textId="77777777" w:rsidR="005C4598" w:rsidRDefault="005C4598" w:rsidP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ЗДВР</w:t>
            </w:r>
          </w:p>
          <w:p w14:paraId="068E5327" w14:textId="6541773E" w:rsidR="00DC0C99" w:rsidRDefault="005C4598" w:rsidP="005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Практичний 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8C2D5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Червень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719AD" w14:textId="77777777" w:rsidR="00DC0C99" w:rsidRDefault="00DC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Довідка</w:t>
            </w:r>
          </w:p>
        </w:tc>
      </w:tr>
    </w:tbl>
    <w:p w14:paraId="5CCD2364" w14:textId="4CE0414A" w:rsidR="00D2023D" w:rsidRDefault="00D2023D"/>
    <w:p w14:paraId="041F8D6F" w14:textId="1235E697" w:rsidR="008E2681" w:rsidRDefault="008E2681"/>
    <w:p w14:paraId="0C61085A" w14:textId="02F097AD" w:rsidR="008E2681" w:rsidRPr="008E2681" w:rsidRDefault="008E2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268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681">
        <w:rPr>
          <w:rFonts w:ascii="Times New Roman" w:hAnsi="Times New Roman" w:cs="Times New Roman"/>
          <w:sz w:val="28"/>
          <w:szCs w:val="28"/>
          <w:lang w:val="uk-UA"/>
        </w:rPr>
        <w:t xml:space="preserve">  Директор ЗЗ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                    </w:t>
      </w:r>
      <w:r w:rsidRPr="008E26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proofErr w:type="spellStart"/>
      <w:r w:rsidRPr="008E2681">
        <w:rPr>
          <w:rFonts w:ascii="Times New Roman" w:hAnsi="Times New Roman" w:cs="Times New Roman"/>
          <w:sz w:val="28"/>
          <w:szCs w:val="28"/>
          <w:lang w:val="uk-UA"/>
        </w:rPr>
        <w:t>В.Й.Поптанич</w:t>
      </w:r>
      <w:proofErr w:type="spellEnd"/>
    </w:p>
    <w:sectPr w:rsidR="008E2681" w:rsidRPr="008E2681" w:rsidSect="001B1D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3D"/>
    <w:rsid w:val="0011294D"/>
    <w:rsid w:val="001B1DA4"/>
    <w:rsid w:val="00405DBF"/>
    <w:rsid w:val="005C4598"/>
    <w:rsid w:val="008D1DDD"/>
    <w:rsid w:val="008E2681"/>
    <w:rsid w:val="00A8152E"/>
    <w:rsid w:val="00D2023D"/>
    <w:rsid w:val="00D839A0"/>
    <w:rsid w:val="00DC0C99"/>
    <w:rsid w:val="00E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AD81"/>
  <w15:chartTrackingRefBased/>
  <w15:docId w15:val="{EF92BADF-A128-4FD7-BA19-2C72763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99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2681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5890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Tutunnik</dc:creator>
  <cp:keywords/>
  <dc:description/>
  <cp:lastModifiedBy>Admin</cp:lastModifiedBy>
  <cp:revision>11</cp:revision>
  <cp:lastPrinted>2024-09-15T16:02:00Z</cp:lastPrinted>
  <dcterms:created xsi:type="dcterms:W3CDTF">2023-10-12T12:46:00Z</dcterms:created>
  <dcterms:modified xsi:type="dcterms:W3CDTF">2024-10-14T09:46:00Z</dcterms:modified>
</cp:coreProperties>
</file>